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5920"/>
        <w:tblGridChange w:id="0">
          <w:tblGrid>
            <w:gridCol w:w="5245"/>
            <w:gridCol w:w="592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Teacher 1 </w:t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2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Paper 1 Language under the microscope </w:t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Lexis </w:t>
            </w:r>
          </w:p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Phonology 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Ao1 frameworks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Ao3 Context </w:t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7 Attendance letter assessment 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Paper 1 Language under the microscope </w:t>
            </w:r>
          </w:p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Intro to Language, what is it and autobiography </w:t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Grammar 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Discourse structure 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Ao1 frameworks</w:t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Ao3 Context </w:t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Week 7 Attendance letter assessment 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Paper 2 Language in the Media 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Gender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 Lizzie Armistead question focus on gender 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Spoken Language – </w:t>
            </w:r>
            <w:r w:rsidDel="00000000" w:rsidR="00000000" w:rsidRPr="00000000">
              <w:rPr>
                <w:color w:val="ff0000"/>
                <w:rtl w:val="0"/>
              </w:rPr>
              <w:t xml:space="preserve">Paper 1 Comparing and contrasting question (36 mark)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Assessment Comparing and contrasting question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REVISE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– mock on Paper 1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Paper 1 Topical language with a focus on gender 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January – mock on Paper 1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Paper 1 Topical language with a focus on power  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color w:val="008000"/>
              </w:rPr>
            </w:pPr>
            <w:r w:rsidDel="00000000" w:rsidR="00000000" w:rsidRPr="00000000">
              <w:rPr>
                <w:color w:val="008000"/>
                <w:rtl w:val="0"/>
              </w:rPr>
              <w:t xml:space="preserve">The Guardian Trip 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Paper 2 question 1 Child Language acquisition 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Power concepts and ideas for Topical and Language in the media. 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Light touch Language and technology 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Continue with Child language acquisition 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Language change 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Revision for June mocks 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Revision for June mocks </w:t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OCR English Language year 12 </w:t>
      </w:r>
    </w:p>
    <w:sectPr>
      <w:pgSz w:h="16840" w:w="11900"/>
      <w:pgMar w:bottom="624" w:top="510" w:left="1531" w:right="164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